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915d1_8k.htm"/>
      <w:bookmarkStart w:id="1" w:name="kstm253391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7_edei--DocumentType_c20251218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December 18, 2025</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i w:val="false"/>
          <w:caps w:val="false"/>
          <w:smallCaps w:val="false"/>
          <w:sz w:val="28"/>
        </w:rPr>
      </w:pPr>
      <w:bookmarkStart w:id="4" w:name="xdx_903_edei--EntityRegistrantName_c2025"/>
      <w:bookmarkEnd w:id="4"/>
      <w:r>
        <w:rPr>
          <w:rFonts w:ascii="Times New Roman;Times;Serif" w:hAnsi="Times New Roman;Times;Serif"/>
          <w:b/>
          <w:i w:val="false"/>
          <w:caps w:val="false"/>
          <w:smallCaps w:val="false"/>
          <w:sz w:val="28"/>
        </w:rPr>
        <w:t>LEGACY HOUSING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283"/>
        <w:jc w:val="left"/>
        <w:rPr/>
      </w:pPr>
      <w:r>
        <w:rPr/>
        <w:t> </w:t>
      </w:r>
    </w:p>
    <w:tbl>
      <w:tblPr>
        <w:tblW w:w="4965" w:type="dxa"/>
        <w:jc w:val="left"/>
        <w:tblInd w:w="0" w:type="dxa"/>
        <w:shd w:fill="FFFFFF" w:val="clear"/>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shd w:fill="FFFFFF" w:val="clear"/>
            <w:vAlign w:val="center"/>
          </w:tcPr>
          <w:p>
            <w:pPr>
              <w:pStyle w:val="TableContents"/>
              <w:bidi w:val="0"/>
              <w:spacing w:before="0" w:after="283"/>
              <w:jc w:val="center"/>
              <w:rPr>
                <w:sz w:val="20"/>
              </w:rPr>
            </w:pPr>
            <w:bookmarkStart w:id="5" w:name="xdx_906_edei--EntityIncorporationStateCo"/>
            <w:bookmarkEnd w:id="5"/>
            <w:r>
              <w:rPr>
                <w:sz w:val="20"/>
              </w:rPr>
              <w:t>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center"/>
              <w:rPr>
                <w:sz w:val="20"/>
              </w:rPr>
            </w:pPr>
            <w:bookmarkStart w:id="6" w:name="xdx_90C_edei--EntityFileNumber_c20251218"/>
            <w:bookmarkEnd w:id="6"/>
            <w:r>
              <w:rPr>
                <w:sz w:val="20"/>
              </w:rPr>
              <w:t>001-38761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sz w:val="20"/>
              </w:rPr>
            </w:pPr>
            <w:bookmarkStart w:id="7" w:name="xdx_90A_edei--EntityTaxIdentificationNum"/>
            <w:bookmarkEnd w:id="7"/>
            <w:r>
              <w:rPr>
                <w:sz w:val="20"/>
              </w:rPr>
              <w:t>20-2897516</w:t>
            </w:r>
          </w:p>
        </w:tc>
      </w:tr>
      <w:tr>
        <w:trPr/>
        <w:tc>
          <w:tcPr>
            <w:tcW w:w="2210"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sz w:val="20"/>
              </w:rPr>
            </w:pPr>
            <w:r>
              <w:rPr>
                <w:sz w:val="20"/>
              </w:rPr>
              <w:t>(Commission</w:t>
              <w:br/>
              <w:t>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283"/>
        <w:jc w:val="left"/>
        <w:rPr/>
      </w:pPr>
      <w:r>
        <w:rPr/>
        <w:t> </w:t>
      </w:r>
    </w:p>
    <w:tbl>
      <w:tblPr>
        <w:tblW w:w="4615" w:type="dxa"/>
        <w:jc w:val="left"/>
        <w:tblInd w:w="0" w:type="dxa"/>
        <w:shd w:fill="FFFFFF" w:val="clear"/>
        <w:tblLayout w:type="fixed"/>
        <w:tblCellMar>
          <w:top w:w="0" w:type="dxa"/>
          <w:left w:w="0" w:type="dxa"/>
          <w:bottom w:w="28" w:type="dxa"/>
          <w:right w:w="0" w:type="dxa"/>
        </w:tblCellMar>
      </w:tblPr>
      <w:tblGrid>
        <w:gridCol w:w="3635"/>
        <w:gridCol w:w="60"/>
        <w:gridCol w:w="920"/>
      </w:tblGrid>
      <w:tr>
        <w:trPr/>
        <w:tc>
          <w:tcPr>
            <w:tcW w:w="3635" w:type="dxa"/>
            <w:tcBorders>
              <w:bottom w:val="single" w:sz="8" w:space="0" w:color="000000"/>
            </w:tcBorders>
            <w:shd w:fill="FFFFFF" w:val="clear"/>
            <w:vAlign w:val="center"/>
          </w:tcPr>
          <w:p>
            <w:pPr>
              <w:pStyle w:val="TableContents"/>
              <w:bidi w:val="0"/>
              <w:spacing w:before="0" w:after="283"/>
              <w:jc w:val="center"/>
              <w:rPr>
                <w:sz w:val="20"/>
              </w:rPr>
            </w:pPr>
            <w:bookmarkStart w:id="8" w:name="xdx_909_edei--EntityAddressAddressLine1_"/>
            <w:bookmarkEnd w:id="8"/>
            <w:r>
              <w:rPr>
                <w:sz w:val="20"/>
              </w:rPr>
              <w:t>1600 Airport Freeway, </w:t>
            </w:r>
            <w:bookmarkStart w:id="9" w:name="xdx_906_edei--EntityAddressAddressLine2_"/>
            <w:bookmarkEnd w:id="9"/>
            <w:r>
              <w:rPr>
                <w:sz w:val="20"/>
              </w:rPr>
              <w:t>#100, </w:t>
            </w:r>
            <w:bookmarkStart w:id="10" w:name="xdx_905_edei--EntityAddressCityOrTown_c2"/>
            <w:bookmarkEnd w:id="10"/>
            <w:r>
              <w:rPr>
                <w:sz w:val="20"/>
              </w:rPr>
              <w:t>Bedford, </w:t>
            </w:r>
            <w:bookmarkStart w:id="11" w:name="xdx_902_edei--EntityAddressStateOrProvin"/>
            <w:bookmarkEnd w:id="11"/>
            <w:r>
              <w:rPr>
                <w:sz w:val="20"/>
              </w:rPr>
              <w:t>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sz w:val="20"/>
              </w:rPr>
            </w:pPr>
            <w:bookmarkStart w:id="12" w:name="xdx_905_edei--EntityAddressPostalZipCode"/>
            <w:bookmarkEnd w:id="12"/>
            <w:r>
              <w:rPr>
                <w:sz w:val="20"/>
              </w:rPr>
              <w:t>76022</w:t>
            </w:r>
          </w:p>
        </w:tc>
      </w:tr>
      <w:tr>
        <w:trPr/>
        <w:tc>
          <w:tcPr>
            <w:tcW w:w="363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1_edei--CityAreaCode_c20251218__20"/>
      <w:bookmarkEnd w:id="13"/>
      <w:r>
        <w:rPr>
          <w:rFonts w:ascii="Times New Roman;Times;Serif" w:hAnsi="Times New Roman;Times;Serif"/>
          <w:b w:val="false"/>
          <w:i w:val="false"/>
          <w:caps w:val="false"/>
          <w:smallCaps w:val="false"/>
          <w:sz w:val="20"/>
        </w:rPr>
        <w:t>817) </w:t>
      </w:r>
      <w:bookmarkStart w:id="14" w:name="xdx_906_edei--LocalPhoneNumber_c20251218"/>
      <w:bookmarkEnd w:id="14"/>
      <w:r>
        <w:rPr>
          <w:rFonts w:ascii="Times New Roman;Times;Serif" w:hAnsi="Times New Roman;Times;Serif"/>
          <w:b w:val="false"/>
          <w:i w:val="false"/>
          <w:caps w:val="false"/>
          <w:smallCaps w:val="false"/>
          <w:sz w:val="20"/>
        </w:rPr>
        <w:t>799-4900</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bookmarkStart w:id="15" w:name="xdx_90E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bookmarkStart w:id="16" w:name="xdx_90C_edei--SolicitingMaterial_c202512"/>
      <w:bookmarkEnd w:id="16"/>
      <w:r>
        <w:rPr>
          <w:caps w:val="false"/>
          <w:smallCaps w:val="false"/>
        </w:rPr>
        <w:t>☐ </w:t>
      </w:r>
      <w:r>
        <w:rPr>
          <w:rFonts w:ascii="Times New Roman;Times;Serif" w:hAnsi="Times New Roman;Times;Serif"/>
          <w:b w:val="false"/>
          <w:i w:val="false"/>
          <w:caps w:val="false"/>
          <w:smallCaps w:val="false"/>
          <w:sz w:val="20"/>
        </w:rPr>
        <w:t xml:space="preserve">Soliciting material pursuant to Rule 14a-12 under the Exchange Act (17 CFR 240.14a-12)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bookmarkStart w:id="17" w:name="xdx_90B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bookmarkStart w:id="18" w:name="xdx_908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shd w:fill="FFFFFF" w:val="clear"/>
        <w:tblLayout w:type="fixed"/>
        <w:tblCellMar>
          <w:top w:w="0" w:type="dxa"/>
          <w:left w:w="0" w:type="dxa"/>
          <w:bottom w:w="28" w:type="dxa"/>
          <w:right w:w="0" w:type="dxa"/>
        </w:tblCellMar>
      </w:tblPr>
      <w:tblGrid>
        <w:gridCol w:w="2825"/>
        <w:gridCol w:w="60"/>
        <w:gridCol w:w="1415"/>
        <w:gridCol w:w="60"/>
        <w:gridCol w:w="3770"/>
      </w:tblGrid>
      <w:tr>
        <w:trPr/>
        <w:tc>
          <w:tcPr>
            <w:tcW w:w="282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2825" w:type="dxa"/>
            <w:tcBorders/>
            <w:shd w:fill="FFFFFF" w:val="clear"/>
            <w:tcMar>
              <w:bottom w:w="0" w:type="dxa"/>
            </w:tcMar>
            <w:vAlign w:val="center"/>
          </w:tcPr>
          <w:p>
            <w:pPr>
              <w:pStyle w:val="TableContents"/>
              <w:bidi w:val="0"/>
              <w:spacing w:before="0" w:after="283"/>
              <w:jc w:val="center"/>
              <w:rPr>
                <w:sz w:val="20"/>
              </w:rPr>
            </w:pPr>
            <w:bookmarkStart w:id="19" w:name="xdx_902_edei--Security12bTitle_c20251218"/>
            <w:bookmarkEnd w:id="19"/>
            <w:r>
              <w:rPr>
                <w:sz w:val="20"/>
              </w:rPr>
              <w:t>Common Stock ($0.001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sz w:val="20"/>
              </w:rPr>
            </w:pPr>
            <w:bookmarkStart w:id="20" w:name="xdx_90C_edei--TradingSymbol_c20251218__2"/>
            <w:bookmarkEnd w:id="20"/>
            <w:r>
              <w:rPr>
                <w:sz w:val="20"/>
              </w:rPr>
              <w:t>LEGH</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0" w:type="dxa"/>
            <w:tcBorders/>
            <w:shd w:fill="FFFFFF" w:val="clear"/>
            <w:tcMar>
              <w:bottom w:w="0" w:type="dxa"/>
            </w:tcMar>
            <w:vAlign w:val="center"/>
          </w:tcPr>
          <w:p>
            <w:pPr>
              <w:pStyle w:val="TableContents"/>
              <w:bidi w:val="0"/>
              <w:spacing w:before="0" w:after="283"/>
              <w:jc w:val="center"/>
              <w:rPr>
                <w:sz w:val="20"/>
              </w:rPr>
            </w:pPr>
            <w:bookmarkStart w:id="21" w:name="xdx_909_edei--SecurityExchangeName_c2025"/>
            <w:bookmarkEnd w:id="21"/>
            <w:r>
              <w:rPr>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ON FORM 8-K</w:t>
        <w:br/>
        <w:br/>
        <w:t>Legacy Housing Corporation (the “Company”)</w:t>
        <w:br/>
        <w:br/>
        <w:t>December 18,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of Stockholders (the “Annual Meeting”) on December 18, 2025. The Company had 23,868,727 shares of common stock outstanding on October 29, 2025, the record date for the Annual Meeting. At the Annual Meeting, holders of 20,747,424 shares of the Company’s common stock were present in person or represented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certified voting results for each proposal presented at the Annual Meeting are set out below. Each of these proposals is described in detail in the Company’s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1</w:t>
      </w:r>
      <w:r>
        <w:rPr>
          <w:rFonts w:ascii="Times New Roman;Times;Serif" w:hAnsi="Times New Roman;Times;Serif"/>
          <w:b w:val="false"/>
          <w:i w:val="false"/>
          <w:caps w:val="false"/>
          <w:smallCaps w:val="false"/>
          <w:sz w:val="20"/>
        </w:rPr>
        <w:t>: The Company’s stockholders elected the five nominees listed in its Proxy Statement to serve on its Board of Directors for a term of one year or until their successors are elected and qualified.</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610"/>
        <w:gridCol w:w="60"/>
        <w:gridCol w:w="950"/>
        <w:gridCol w:w="60"/>
        <w:gridCol w:w="845"/>
        <w:gridCol w:w="60"/>
        <w:gridCol w:w="665"/>
        <w:gridCol w:w="60"/>
        <w:gridCol w:w="90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w:t>
            </w:r>
          </w:p>
        </w:tc>
        <w:tc>
          <w:tcPr>
            <w:tcW w:w="60" w:type="dxa"/>
            <w:tcBorders/>
            <w:vAlign w:val="center"/>
          </w:tcPr>
          <w:p>
            <w:pPr>
              <w:pStyle w:val="TableContents"/>
              <w:bidi w:val="0"/>
              <w:spacing w:before="0" w:after="283"/>
              <w:jc w:val="center"/>
              <w:rPr/>
            </w:pPr>
            <w:r>
              <w:rPr/>
              <w:t> </w:t>
            </w:r>
          </w:p>
        </w:tc>
        <w:tc>
          <w:tcPr>
            <w:tcW w:w="9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Non-Votes</w:t>
            </w:r>
          </w:p>
        </w:tc>
      </w:tr>
      <w:tr>
        <w:trPr/>
        <w:tc>
          <w:tcPr>
            <w:tcW w:w="1610" w:type="dxa"/>
            <w:tcBorders/>
            <w:shd w:fill="CCEEFF" w:val="clear"/>
            <w:vAlign w:val="center"/>
          </w:tcPr>
          <w:p>
            <w:pPr>
              <w:pStyle w:val="TableContents"/>
              <w:bidi w:val="0"/>
              <w:spacing w:before="0" w:after="283"/>
              <w:jc w:val="left"/>
              <w:rPr>
                <w:sz w:val="20"/>
              </w:rPr>
            </w:pPr>
            <w:r>
              <w:rPr>
                <w:sz w:val="20"/>
              </w:rPr>
              <w:t>Curtis D. Hodgson</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sz w:val="20"/>
              </w:rPr>
            </w:pPr>
            <w:r>
              <w:rPr>
                <w:sz w:val="20"/>
              </w:rPr>
              <w:t>19,550,573</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sz w:val="20"/>
              </w:rPr>
            </w:pPr>
            <w:r>
              <w:rPr>
                <w:sz w:val="20"/>
              </w:rPr>
              <w:t>519,013</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sz w:val="20"/>
              </w:rPr>
            </w:pPr>
            <w:r>
              <w:rPr>
                <w:sz w:val="20"/>
              </w:rPr>
              <w:t>163</w:t>
            </w:r>
          </w:p>
        </w:tc>
        <w:tc>
          <w:tcPr>
            <w:tcW w:w="60" w:type="dxa"/>
            <w:tcBorders/>
            <w:shd w:fill="CCEEFF" w:val="clear"/>
            <w:vAlign w:val="center"/>
          </w:tcPr>
          <w:p>
            <w:pPr>
              <w:pStyle w:val="TableContents"/>
              <w:bidi w:val="0"/>
              <w:spacing w:before="0" w:after="283"/>
              <w:jc w:val="center"/>
              <w:rPr/>
            </w:pPr>
            <w:r>
              <w:rPr/>
              <w:t> </w:t>
            </w:r>
          </w:p>
        </w:tc>
        <w:tc>
          <w:tcPr>
            <w:tcW w:w="905" w:type="dxa"/>
            <w:tcBorders/>
            <w:shd w:fill="CCEEFF" w:val="clear"/>
            <w:vAlign w:val="center"/>
          </w:tcPr>
          <w:p>
            <w:pPr>
              <w:pStyle w:val="TableContents"/>
              <w:bidi w:val="0"/>
              <w:spacing w:before="0" w:after="283"/>
              <w:jc w:val="center"/>
              <w:rPr>
                <w:sz w:val="20"/>
              </w:rPr>
            </w:pPr>
            <w:r>
              <w:rPr>
                <w:sz w:val="20"/>
              </w:rPr>
              <w:t>677,675</w:t>
            </w:r>
          </w:p>
        </w:tc>
      </w:tr>
      <w:tr>
        <w:trPr/>
        <w:tc>
          <w:tcPr>
            <w:tcW w:w="1610" w:type="dxa"/>
            <w:tcBorders/>
            <w:shd w:fill="FFFFFF" w:val="clear"/>
            <w:vAlign w:val="center"/>
          </w:tcPr>
          <w:p>
            <w:pPr>
              <w:pStyle w:val="TableContents"/>
              <w:bidi w:val="0"/>
              <w:spacing w:before="0" w:after="283"/>
              <w:jc w:val="left"/>
              <w:rPr>
                <w:sz w:val="20"/>
              </w:rPr>
            </w:pPr>
            <w:r>
              <w:rPr>
                <w:sz w:val="20"/>
              </w:rPr>
              <w:t>Kenneth E. Shipley</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sz w:val="20"/>
              </w:rPr>
            </w:pPr>
            <w:r>
              <w:rPr>
                <w:sz w:val="20"/>
              </w:rPr>
              <w:t>19,914,446</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sz w:val="20"/>
              </w:rPr>
            </w:pPr>
            <w:r>
              <w:rPr>
                <w:sz w:val="20"/>
              </w:rPr>
              <w:t>155,203</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sz w:val="20"/>
              </w:rPr>
            </w:pPr>
            <w:r>
              <w:rPr>
                <w:sz w:val="20"/>
              </w:rPr>
              <w:t>100</w:t>
            </w:r>
          </w:p>
        </w:tc>
        <w:tc>
          <w:tcPr>
            <w:tcW w:w="60"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sz w:val="20"/>
              </w:rPr>
            </w:pPr>
            <w:r>
              <w:rPr>
                <w:sz w:val="20"/>
              </w:rPr>
              <w:t>677,675</w:t>
            </w:r>
          </w:p>
        </w:tc>
      </w:tr>
      <w:tr>
        <w:trPr/>
        <w:tc>
          <w:tcPr>
            <w:tcW w:w="1610" w:type="dxa"/>
            <w:tcBorders/>
            <w:shd w:fill="CCEEFF" w:val="clear"/>
            <w:vAlign w:val="center"/>
          </w:tcPr>
          <w:p>
            <w:pPr>
              <w:pStyle w:val="TableContents"/>
              <w:bidi w:val="0"/>
              <w:spacing w:before="0" w:after="283"/>
              <w:jc w:val="left"/>
              <w:rPr>
                <w:sz w:val="20"/>
              </w:rPr>
            </w:pPr>
            <w:r>
              <w:rPr>
                <w:sz w:val="20"/>
              </w:rPr>
              <w:t>Brian J. Ferguson</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sz w:val="20"/>
              </w:rPr>
            </w:pPr>
            <w:r>
              <w:rPr>
                <w:sz w:val="20"/>
              </w:rPr>
              <w:t>15,010,086</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sz w:val="20"/>
              </w:rPr>
            </w:pPr>
            <w:r>
              <w:rPr>
                <w:sz w:val="20"/>
              </w:rPr>
              <w:t>5,053,466</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sz w:val="20"/>
              </w:rPr>
            </w:pPr>
            <w:r>
              <w:rPr>
                <w:sz w:val="20"/>
              </w:rPr>
              <w:t>6,197</w:t>
            </w:r>
          </w:p>
        </w:tc>
        <w:tc>
          <w:tcPr>
            <w:tcW w:w="60" w:type="dxa"/>
            <w:tcBorders/>
            <w:shd w:fill="CCEEFF" w:val="clear"/>
            <w:vAlign w:val="center"/>
          </w:tcPr>
          <w:p>
            <w:pPr>
              <w:pStyle w:val="TableContents"/>
              <w:bidi w:val="0"/>
              <w:spacing w:before="0" w:after="283"/>
              <w:jc w:val="center"/>
              <w:rPr/>
            </w:pPr>
            <w:r>
              <w:rPr/>
              <w:t> </w:t>
            </w:r>
          </w:p>
        </w:tc>
        <w:tc>
          <w:tcPr>
            <w:tcW w:w="905" w:type="dxa"/>
            <w:tcBorders/>
            <w:shd w:fill="CCEEFF" w:val="clear"/>
            <w:vAlign w:val="center"/>
          </w:tcPr>
          <w:p>
            <w:pPr>
              <w:pStyle w:val="TableContents"/>
              <w:bidi w:val="0"/>
              <w:spacing w:before="0" w:after="283"/>
              <w:jc w:val="center"/>
              <w:rPr>
                <w:sz w:val="20"/>
              </w:rPr>
            </w:pPr>
            <w:r>
              <w:rPr>
                <w:sz w:val="20"/>
              </w:rPr>
              <w:t>677,675</w:t>
            </w:r>
          </w:p>
        </w:tc>
      </w:tr>
      <w:tr>
        <w:trPr/>
        <w:tc>
          <w:tcPr>
            <w:tcW w:w="1610" w:type="dxa"/>
            <w:tcBorders/>
            <w:shd w:fill="FFFFFF" w:val="clear"/>
            <w:vAlign w:val="center"/>
          </w:tcPr>
          <w:p>
            <w:pPr>
              <w:pStyle w:val="TableContents"/>
              <w:bidi w:val="0"/>
              <w:spacing w:before="0" w:after="283"/>
              <w:jc w:val="left"/>
              <w:rPr>
                <w:sz w:val="20"/>
              </w:rPr>
            </w:pPr>
            <w:r>
              <w:rPr>
                <w:sz w:val="20"/>
              </w:rPr>
              <w:t>Skyler M. Howton</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sz w:val="20"/>
              </w:rPr>
            </w:pPr>
            <w:r>
              <w:rPr>
                <w:sz w:val="20"/>
              </w:rPr>
              <w:t>19,055,451</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sz w:val="20"/>
              </w:rPr>
            </w:pPr>
            <w:r>
              <w:rPr>
                <w:sz w:val="20"/>
              </w:rPr>
              <w:t>1,006,398</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sz w:val="20"/>
              </w:rPr>
            </w:pPr>
            <w:r>
              <w:rPr>
                <w:sz w:val="20"/>
              </w:rPr>
              <w:t>7,900</w:t>
            </w:r>
          </w:p>
        </w:tc>
        <w:tc>
          <w:tcPr>
            <w:tcW w:w="60"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sz w:val="20"/>
              </w:rPr>
            </w:pPr>
            <w:r>
              <w:rPr>
                <w:sz w:val="20"/>
              </w:rPr>
              <w:t>677,675</w:t>
            </w:r>
          </w:p>
        </w:tc>
      </w:tr>
      <w:tr>
        <w:trPr/>
        <w:tc>
          <w:tcPr>
            <w:tcW w:w="1610" w:type="dxa"/>
            <w:tcBorders/>
            <w:shd w:fill="CCEEFF" w:val="clear"/>
            <w:vAlign w:val="center"/>
          </w:tcPr>
          <w:p>
            <w:pPr>
              <w:pStyle w:val="TableContents"/>
              <w:bidi w:val="0"/>
              <w:spacing w:before="0" w:after="283"/>
              <w:jc w:val="left"/>
              <w:rPr>
                <w:sz w:val="20"/>
              </w:rPr>
            </w:pPr>
            <w:r>
              <w:rPr>
                <w:sz w:val="20"/>
              </w:rPr>
              <w:t>Jeffrey K. Stouder</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sz w:val="20"/>
              </w:rPr>
            </w:pPr>
            <w:r>
              <w:rPr>
                <w:sz w:val="20"/>
              </w:rPr>
              <w:t>14,567,637</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sz w:val="20"/>
              </w:rPr>
            </w:pPr>
            <w:r>
              <w:rPr>
                <w:sz w:val="20"/>
              </w:rPr>
              <w:t>5,495,815</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sz w:val="20"/>
              </w:rPr>
            </w:pPr>
            <w:r>
              <w:rPr>
                <w:sz w:val="20"/>
              </w:rPr>
              <w:t>6,297</w:t>
            </w:r>
          </w:p>
        </w:tc>
        <w:tc>
          <w:tcPr>
            <w:tcW w:w="60" w:type="dxa"/>
            <w:tcBorders/>
            <w:shd w:fill="CCEEFF" w:val="clear"/>
            <w:vAlign w:val="center"/>
          </w:tcPr>
          <w:p>
            <w:pPr>
              <w:pStyle w:val="TableContents"/>
              <w:bidi w:val="0"/>
              <w:spacing w:before="0" w:after="283"/>
              <w:jc w:val="center"/>
              <w:rPr/>
            </w:pPr>
            <w:r>
              <w:rPr/>
              <w:t> </w:t>
            </w:r>
          </w:p>
        </w:tc>
        <w:tc>
          <w:tcPr>
            <w:tcW w:w="905" w:type="dxa"/>
            <w:tcBorders/>
            <w:shd w:fill="CCEEFF" w:val="clear"/>
            <w:vAlign w:val="center"/>
          </w:tcPr>
          <w:p>
            <w:pPr>
              <w:pStyle w:val="TableContents"/>
              <w:bidi w:val="0"/>
              <w:spacing w:before="0" w:after="283"/>
              <w:jc w:val="center"/>
              <w:rPr>
                <w:sz w:val="20"/>
              </w:rPr>
            </w:pPr>
            <w:r>
              <w:rPr>
                <w:sz w:val="20"/>
              </w:rPr>
              <w:t>677,675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2</w:t>
      </w:r>
      <w:r>
        <w:rPr>
          <w:rFonts w:ascii="Times New Roman;Times;Serif" w:hAnsi="Times New Roman;Times;Serif"/>
          <w:b w:val="false"/>
          <w:i w:val="false"/>
          <w:caps w:val="false"/>
          <w:smallCaps w:val="false"/>
          <w:sz w:val="20"/>
        </w:rPr>
        <w:t>: The Company’s stockholders ratified the appointment of Frazier &amp; Deeter, LLC as the Company’s independent registered public accounting firm for the year ending December 31, 2025.</w:t>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28" w:type="dxa"/>
          <w:right w:w="0" w:type="dxa"/>
        </w:tblCellMar>
      </w:tblPr>
      <w:tblGrid>
        <w:gridCol w:w="965"/>
        <w:gridCol w:w="60"/>
        <w:gridCol w:w="695"/>
        <w:gridCol w:w="60"/>
        <w:gridCol w:w="665"/>
        <w:gridCol w:w="60"/>
        <w:gridCol w:w="905"/>
      </w:tblGrid>
      <w:tr>
        <w:trPr/>
        <w:tc>
          <w:tcPr>
            <w:tcW w:w="965"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b/>
                <w:sz w:val="20"/>
              </w:rPr>
            </w:pPr>
            <w:r>
              <w:rPr>
                <w:b/>
                <w:sz w:val="20"/>
              </w:rPr>
              <w:t>Abstain</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20,539,201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206,207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center"/>
              <w:rPr>
                <w:sz w:val="20"/>
              </w:rPr>
            </w:pPr>
            <w:r>
              <w:rPr>
                <w:sz w:val="20"/>
              </w:rPr>
              <w:t>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center"/>
              <w:rPr>
                <w:sz w:val="20"/>
              </w:rPr>
            </w:pPr>
            <w:r>
              <w:rPr>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94" w:type="dxa"/>
        <w:jc w:val="left"/>
        <w:tblInd w:w="0" w:type="dxa"/>
        <w:tblLayout w:type="fixed"/>
        <w:tblCellMar>
          <w:top w:w="0" w:type="dxa"/>
          <w:left w:w="0" w:type="dxa"/>
          <w:bottom w:w="0" w:type="dxa"/>
          <w:right w:w="0" w:type="dxa"/>
        </w:tblCellMar>
      </w:tblPr>
      <w:tblGrid>
        <w:gridCol w:w="2090"/>
        <w:gridCol w:w="575"/>
        <w:gridCol w:w="2729"/>
      </w:tblGrid>
      <w:tr>
        <w:trPr/>
        <w:tc>
          <w:tcPr>
            <w:tcW w:w="2090"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b/>
                <w:sz w:val="20"/>
              </w:rPr>
            </w:pPr>
            <w:r>
              <w:rPr>
                <w:b/>
                <w:sz w:val="20"/>
              </w:rPr>
              <w:t>LEGACY HOUSING CORPORATION</w:t>
            </w:r>
          </w:p>
        </w:tc>
      </w:tr>
      <w:tr>
        <w:trPr/>
        <w:tc>
          <w:tcPr>
            <w:tcW w:w="20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2729"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Date: December 19, 2025</w:t>
            </w:r>
          </w:p>
        </w:tc>
        <w:tc>
          <w:tcPr>
            <w:tcW w:w="575" w:type="dxa"/>
            <w:tcBorders/>
            <w:vAlign w:val="center"/>
          </w:tcPr>
          <w:p>
            <w:pPr>
              <w:pStyle w:val="TableContents"/>
              <w:bidi w:val="0"/>
              <w:spacing w:before="0" w:after="283"/>
              <w:jc w:val="left"/>
              <w:rPr>
                <w:sz w:val="20"/>
              </w:rPr>
            </w:pPr>
            <w:r>
              <w:rPr>
                <w:sz w:val="20"/>
              </w:rPr>
              <w:t>By:</w:t>
            </w:r>
          </w:p>
        </w:tc>
        <w:tc>
          <w:tcPr>
            <w:tcW w:w="272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Kenneth Shipley</w:t>
            </w:r>
          </w:p>
        </w:tc>
      </w:tr>
      <w:tr>
        <w:trPr/>
        <w:tc>
          <w:tcPr>
            <w:tcW w:w="20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Name:</w:t>
            </w:r>
          </w:p>
        </w:tc>
        <w:tc>
          <w:tcPr>
            <w:tcW w:w="2729" w:type="dxa"/>
            <w:tcBorders/>
            <w:vAlign w:val="center"/>
          </w:tcPr>
          <w:p>
            <w:pPr>
              <w:pStyle w:val="TableContents"/>
              <w:bidi w:val="0"/>
              <w:spacing w:before="0" w:after="283"/>
              <w:jc w:val="left"/>
              <w:rPr>
                <w:sz w:val="20"/>
              </w:rPr>
            </w:pPr>
            <w:r>
              <w:rPr>
                <w:sz w:val="20"/>
              </w:rPr>
              <w:t>Kenneth Shipley</w:t>
            </w:r>
          </w:p>
        </w:tc>
      </w:tr>
      <w:tr>
        <w:trPr/>
        <w:tc>
          <w:tcPr>
            <w:tcW w:w="20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Title:</w:t>
            </w:r>
          </w:p>
        </w:tc>
        <w:tc>
          <w:tcPr>
            <w:tcW w:w="2729" w:type="dxa"/>
            <w:tcBorders/>
            <w:vAlign w:val="center"/>
          </w:tcPr>
          <w:p>
            <w:pPr>
              <w:pStyle w:val="TableContents"/>
              <w:bidi w:val="0"/>
              <w:spacing w:before="0" w:after="283"/>
              <w:jc w:val="left"/>
              <w:rPr>
                <w:sz w:val="20"/>
              </w:rPr>
            </w:pPr>
            <w:r>
              <w:rPr>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564</Words>
  <Characters>3138</Characters>
  <CharactersWithSpaces>3705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