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533915d2_8k.htm"/>
      <w:bookmarkStart w:id="1" w:name="kstm2533915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8_edei--DocumentType_c20251218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December 18, 2025</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i w:val="false"/>
          <w:caps w:val="false"/>
          <w:smallCaps w:val="false"/>
          <w:sz w:val="28"/>
        </w:rPr>
      </w:pPr>
      <w:bookmarkStart w:id="4" w:name="xdx_904_edei--EntityRegistrantName_c2025"/>
      <w:bookmarkEnd w:id="4"/>
      <w:r>
        <w:rPr>
          <w:rFonts w:ascii="Times New Roman;Times;Serif" w:hAnsi="Times New Roman;Times;Serif"/>
          <w:b/>
          <w:i w:val="false"/>
          <w:caps w:val="false"/>
          <w:smallCaps w:val="false"/>
          <w:sz w:val="28"/>
        </w:rPr>
        <w:t>LEGACY HOUSING CORPORATION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283"/>
        <w:jc w:val="left"/>
        <w:rPr/>
      </w:pPr>
      <w:r>
        <w:rPr/>
        <w:t> </w:t>
      </w:r>
    </w:p>
    <w:tbl>
      <w:tblPr>
        <w:tblW w:w="4920" w:type="dxa"/>
        <w:jc w:val="left"/>
        <w:tblInd w:w="0" w:type="dxa"/>
        <w:shd w:fill="FFFFFF" w:val="clear"/>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sz w:val="20"/>
              </w:rPr>
            </w:pPr>
            <w:bookmarkStart w:id="5" w:name="xdx_903_edei--EntityIncorporationStateCo"/>
            <w:bookmarkEnd w:id="5"/>
            <w:r>
              <w:rPr>
                <w:sz w:val="20"/>
              </w:rPr>
              <w:t>Texas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center"/>
              <w:rPr>
                <w:sz w:val="20"/>
              </w:rPr>
            </w:pPr>
            <w:bookmarkStart w:id="6" w:name="xdx_903_edei--EntityFileNumber_c20251218"/>
            <w:bookmarkEnd w:id="6"/>
            <w:r>
              <w:rPr>
                <w:sz w:val="20"/>
              </w:rPr>
              <w:t>001-38761</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sz w:val="20"/>
              </w:rPr>
            </w:pPr>
            <w:bookmarkStart w:id="7" w:name="xdx_904_edei--EntityTaxIdentificationNum"/>
            <w:bookmarkEnd w:id="7"/>
            <w:r>
              <w:rPr>
                <w:sz w:val="20"/>
              </w:rPr>
              <w:t>20-2897516</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center"/>
              <w:rPr>
                <w:sz w:val="20"/>
              </w:rPr>
            </w:pPr>
            <w:r>
              <w:rPr>
                <w:sz w:val="20"/>
              </w:rPr>
              <w:t>(Commission</w:t>
              <w:br/>
              <w:t>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283"/>
        <w:jc w:val="left"/>
        <w:rPr/>
      </w:pPr>
      <w:r>
        <w:rPr/>
        <w:t> </w:t>
      </w:r>
    </w:p>
    <w:tbl>
      <w:tblPr>
        <w:tblW w:w="4255" w:type="dxa"/>
        <w:jc w:val="left"/>
        <w:tblInd w:w="0" w:type="dxa"/>
        <w:shd w:fill="FFFFFF" w:val="clear"/>
        <w:tblLayout w:type="fixed"/>
        <w:tblCellMar>
          <w:top w:w="0" w:type="dxa"/>
          <w:left w:w="0" w:type="dxa"/>
          <w:bottom w:w="28" w:type="dxa"/>
          <w:right w:w="0" w:type="dxa"/>
        </w:tblCellMar>
      </w:tblPr>
      <w:tblGrid>
        <w:gridCol w:w="3275"/>
        <w:gridCol w:w="60"/>
        <w:gridCol w:w="920"/>
      </w:tblGrid>
      <w:tr>
        <w:trPr/>
        <w:tc>
          <w:tcPr>
            <w:tcW w:w="3275" w:type="dxa"/>
            <w:tcBorders>
              <w:bottom w:val="single" w:sz="8" w:space="0" w:color="000000"/>
            </w:tcBorders>
            <w:shd w:fill="FFFFFF" w:val="clear"/>
            <w:vAlign w:val="center"/>
          </w:tcPr>
          <w:p>
            <w:pPr>
              <w:pStyle w:val="TableContents"/>
              <w:bidi w:val="0"/>
              <w:spacing w:before="0" w:after="283"/>
              <w:jc w:val="center"/>
              <w:rPr>
                <w:sz w:val="20"/>
              </w:rPr>
            </w:pPr>
            <w:bookmarkStart w:id="8" w:name="xdx_90E_edei--EntityAddressAddressLine1_"/>
            <w:bookmarkEnd w:id="8"/>
            <w:r>
              <w:rPr>
                <w:sz w:val="20"/>
              </w:rPr>
              <w:t>1600 Airport Freeway, </w:t>
            </w:r>
            <w:bookmarkStart w:id="9" w:name="xdx_90A_edei--EntityAddressAddressLine2_"/>
            <w:bookmarkEnd w:id="9"/>
            <w:r>
              <w:rPr>
                <w:sz w:val="20"/>
              </w:rPr>
              <w:t>#100</w:t>
              <w:br/>
              <w:t> </w:t>
            </w:r>
            <w:bookmarkStart w:id="10" w:name="xdx_90F_edei--EntityAddressCityOrTown_c2"/>
            <w:bookmarkEnd w:id="10"/>
            <w:r>
              <w:rPr>
                <w:sz w:val="20"/>
              </w:rPr>
              <w:t>Bedford, </w:t>
            </w:r>
            <w:bookmarkStart w:id="11" w:name="xdx_90A_edei--EntityAddressStateOrProvin"/>
            <w:bookmarkEnd w:id="11"/>
            <w:r>
              <w:rPr>
                <w:sz w:val="20"/>
              </w:rPr>
              <w:t>Texas</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sz w:val="20"/>
              </w:rPr>
            </w:pPr>
            <w:bookmarkStart w:id="12" w:name="xdx_90F_edei--EntityAddressPostalZipCode"/>
            <w:bookmarkEnd w:id="12"/>
            <w:r>
              <w:rPr>
                <w:sz w:val="20"/>
              </w:rPr>
              <w:t>76022</w:t>
            </w:r>
          </w:p>
        </w:tc>
      </w:tr>
      <w:tr>
        <w:trPr/>
        <w:tc>
          <w:tcPr>
            <w:tcW w:w="327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w:t>
      </w:r>
      <w:bookmarkStart w:id="13" w:name="xdx_901_edei--CityAreaCode_c20251218__20"/>
      <w:bookmarkEnd w:id="13"/>
      <w:r>
        <w:rPr>
          <w:rFonts w:ascii="Times New Roman;Times;Serif" w:hAnsi="Times New Roman;Times;Serif"/>
          <w:b w:val="false"/>
          <w:i w:val="false"/>
          <w:caps w:val="false"/>
          <w:smallCaps w:val="false"/>
          <w:sz w:val="20"/>
          <w:u w:val="single"/>
        </w:rPr>
        <w:t>817) </w:t>
      </w:r>
      <w:bookmarkStart w:id="14" w:name="xdx_906_edei--LocalPhoneNumber_c20251218"/>
      <w:bookmarkEnd w:id="14"/>
      <w:r>
        <w:rPr>
          <w:rFonts w:ascii="Times New Roman;Times;Serif" w:hAnsi="Times New Roman;Times;Serif"/>
          <w:b w:val="false"/>
          <w:i w:val="false"/>
          <w:caps w:val="false"/>
          <w:smallCaps w:val="false"/>
          <w:sz w:val="20"/>
          <w:u w:val="single"/>
        </w:rPr>
        <w:t>799-4900</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caps w:val="false"/>
          <w:smallCaps w:val="false"/>
        </w:rPr>
      </w:pPr>
      <w:bookmarkStart w:id="15" w:name="xdx_90B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caps w:val="false"/>
          <w:smallCaps w:val="false"/>
        </w:rPr>
      </w:pPr>
      <w:bookmarkStart w:id="16" w:name="xdx_90D_edei--SolicitingMaterial_c202512"/>
      <w:bookmarkEnd w:id="16"/>
      <w:r>
        <w:rPr>
          <w:caps w:val="false"/>
          <w:smallCaps w:val="false"/>
        </w:rPr>
        <w:t>☐           </w:t>
      </w:r>
      <w:r>
        <w:rPr>
          <w:rFonts w:ascii="Times New Roman;Times;Serif" w:hAnsi="Times New Roman;Times;Serif"/>
          <w:b w:val="false"/>
          <w:i w:val="false"/>
          <w:caps w:val="false"/>
          <w:smallCaps w:val="false"/>
          <w:sz w:val="20"/>
        </w:rPr>
        <w:t xml:space="preserve">Soliciting material pursuant to Rule 14a-12 under the Exchange Act (17 CFR 240.14a-12)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caps w:val="false"/>
          <w:smallCaps w:val="false"/>
        </w:rPr>
      </w:pPr>
      <w:bookmarkStart w:id="17" w:name="xdx_905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caps w:val="false"/>
          <w:smallCaps w:val="false"/>
        </w:rPr>
      </w:pPr>
      <w:bookmarkStart w:id="18" w:name="xdx_905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shd w:fill="FFFFFF" w:val="clear"/>
        <w:tblLayout w:type="fixed"/>
        <w:tblCellMar>
          <w:top w:w="0" w:type="dxa"/>
          <w:left w:w="0" w:type="dxa"/>
          <w:bottom w:w="28" w:type="dxa"/>
          <w:right w:w="0" w:type="dxa"/>
        </w:tblCellMar>
      </w:tblPr>
      <w:tblGrid>
        <w:gridCol w:w="3515"/>
        <w:gridCol w:w="60"/>
        <w:gridCol w:w="1610"/>
        <w:gridCol w:w="60"/>
        <w:gridCol w:w="2855"/>
      </w:tblGrid>
      <w:tr>
        <w:trPr/>
        <w:tc>
          <w:tcPr>
            <w:tcW w:w="351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55"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w:t>
              <w:br/>
              <w:t>registered</w:t>
            </w:r>
          </w:p>
        </w:tc>
      </w:tr>
      <w:tr>
        <w:trPr/>
        <w:tc>
          <w:tcPr>
            <w:tcW w:w="3515" w:type="dxa"/>
            <w:tcBorders/>
            <w:shd w:fill="FFFFFF" w:val="clear"/>
            <w:tcMar>
              <w:bottom w:w="0" w:type="dxa"/>
            </w:tcMar>
            <w:vAlign w:val="center"/>
          </w:tcPr>
          <w:p>
            <w:pPr>
              <w:pStyle w:val="TableContents"/>
              <w:bidi w:val="0"/>
              <w:spacing w:before="0" w:after="283"/>
              <w:jc w:val="center"/>
              <w:rPr>
                <w:sz w:val="20"/>
              </w:rPr>
            </w:pPr>
            <w:bookmarkStart w:id="19" w:name="xdx_90F_edei--Security12bTitle_c20251218"/>
            <w:bookmarkEnd w:id="19"/>
            <w:r>
              <w:rPr>
                <w:sz w:val="20"/>
              </w:rPr>
              <w:t>Common Stock, par value $0.001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3_edei--TradingSymbol_c20251218__2"/>
            <w:bookmarkEnd w:id="20"/>
            <w:r>
              <w:rPr>
                <w:sz w:val="20"/>
              </w:rPr>
              <w:t>LEGH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5" w:type="dxa"/>
            <w:tcBorders/>
            <w:shd w:fill="FFFFFF" w:val="clear"/>
            <w:tcMar>
              <w:bottom w:w="0" w:type="dxa"/>
            </w:tcMar>
            <w:vAlign w:val="center"/>
          </w:tcPr>
          <w:p>
            <w:pPr>
              <w:pStyle w:val="TableContents"/>
              <w:bidi w:val="0"/>
              <w:spacing w:before="0" w:after="283"/>
              <w:jc w:val="center"/>
              <w:rPr>
                <w:sz w:val="20"/>
              </w:rPr>
            </w:pPr>
            <w:bookmarkStart w:id="21" w:name="xdx_905_edei--SecurityExchangeName_c2025"/>
            <w:bookmarkEnd w:id="21"/>
            <w:r>
              <w:rPr>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8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ON 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Legacy Housing Corporation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18, 2025</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2025, the Board of Directors of the Company appointed Jon Langbert, age 60, as Chief Financial Officer of the Company. Before joining the Company, Mr. Langbert provided advisory services to and invested in early-stage companies. Mr. Langbert served as the President of Plush Suites, which developed an all-suite, upscale extended-stay hotel product, from June 2016 to March 2023, and was the owner of Langbert Financial, a privately held factoring company with additional interests in franchise ownership and development, from November 2002 to May 2016.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Langbert also founded Alight, a VC-backed internet retailer, in 1999, and Consolidated Route, a large route operator of gaming equipment, in 1995. Mr. Langbert began his career in finance and accounting with Electronic Data Systems (now HP Enterprise Services), at which time he earned a Certified Management Accountant certification. Mr. Langbert has a BBA degree in Finance with Honors from The University of Texas at Austin and an MBA from Harvard Business School.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Mr. Langbert expect to enter into an employment agreement following his 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Langbert replaces Ronald Arrington, who stepped down as Interim Chief Financial Officer on December 18,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are no arrangements or understandings between Mr. Langbert and any other person pursuant to which Mr. Langbert was selected as an officer of the Company. Neither Mr. Langbert nor any member of his immediate family has any direct or indirect material interest in any transaction required to be disclosed pursuant to Item 404(a) of Regulation S-K under the Securities Exchange Act of 1934. Further, there is no family relationship between Mr. Langbert and any director, executive officer or person nominated or chosen by the Company to become a director or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2090"/>
        <w:gridCol w:w="320"/>
        <w:gridCol w:w="545"/>
        <w:gridCol w:w="3035"/>
      </w:tblGrid>
      <w:tr>
        <w:trPr/>
        <w:tc>
          <w:tcPr>
            <w:tcW w:w="2090" w:type="dxa"/>
            <w:tcBorders/>
            <w:vAlign w:val="center"/>
          </w:tcPr>
          <w:p>
            <w:pPr>
              <w:pStyle w:val="TableContents"/>
              <w:bidi w:val="0"/>
              <w:spacing w:before="0" w:after="283"/>
              <w:jc w:val="left"/>
              <w:rPr/>
            </w:pPr>
            <w:r>
              <w:rPr/>
              <w:t> </w:t>
            </w:r>
          </w:p>
        </w:tc>
        <w:tc>
          <w:tcPr>
            <w:tcW w:w="390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LEGACY HOUSING CORPORATION</w:t>
            </w:r>
          </w:p>
        </w:tc>
      </w:tr>
      <w:tr>
        <w:trPr/>
        <w:tc>
          <w:tcPr>
            <w:tcW w:w="2090" w:type="dxa"/>
            <w:tcBorders/>
            <w:vAlign w:val="center"/>
          </w:tcPr>
          <w:p>
            <w:pPr>
              <w:pStyle w:val="TableContents"/>
              <w:bidi w:val="0"/>
              <w:spacing w:before="0" w:after="283"/>
              <w:jc w:val="left"/>
              <w:rPr/>
            </w:pPr>
            <w:r>
              <w:rPr/>
              <w:t> </w:t>
            </w:r>
          </w:p>
        </w:tc>
        <w:tc>
          <w:tcPr>
            <w:tcW w:w="3900" w:type="dxa"/>
            <w:gridSpan w:val="3"/>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3900" w:type="dxa"/>
            <w:gridSpan w:val="3"/>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December 19,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80" w:type="dxa"/>
            <w:gridSpan w:val="2"/>
            <w:tcBorders>
              <w:bottom w:val="single" w:sz="8" w:space="0" w:color="000000"/>
            </w:tcBorders>
            <w:tcMar>
              <w:bottom w:w="28" w:type="dxa"/>
            </w:tcMar>
            <w:vAlign w:val="center"/>
          </w:tcPr>
          <w:p>
            <w:pPr>
              <w:pStyle w:val="TableContents"/>
              <w:bidi w:val="0"/>
              <w:spacing w:before="0" w:after="283"/>
              <w:jc w:val="left"/>
              <w:rPr/>
            </w:pPr>
            <w:r>
              <w:rPr/>
              <w:t> </w:t>
            </w:r>
            <w:r>
              <w:rPr/>
              <w:t>/s/ Kenneth E. Shipley</w:t>
            </w:r>
          </w:p>
        </w:tc>
      </w:tr>
      <w:tr>
        <w:trPr/>
        <w:tc>
          <w:tcPr>
            <w:tcW w:w="20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Kenneth E. Shipley</w:t>
            </w:r>
          </w:p>
        </w:tc>
      </w:tr>
      <w:tr>
        <w:trPr/>
        <w:tc>
          <w:tcPr>
            <w:tcW w:w="20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5" w:type="dxa"/>
            <w:tcBorders/>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3790</Characters>
  <CharactersWithSpaces>4528</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