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77470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3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13"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20"/>
          <w:szCs w:val="20"/>
          <w:color w:val="auto"/>
        </w:rPr>
        <w:t>Date of Report (Date of earliest event reported): May 7, 2026</w:t>
      </w:r>
    </w:p>
    <w:p>
      <w:pPr>
        <w:spacing w:after="0" w:line="144"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LEGACY HOUSING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16510</wp:posOffset>
            </wp:positionV>
            <wp:extent cx="56489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tbl>
      <w:tblPr>
        <w:tblLayout w:type="fixed"/>
        <w:tblInd w:w="60" w:type="dxa"/>
        <w:tblCellMar>
          <w:top w:w="0" w:type="dxa"/>
          <w:left w:w="0" w:type="dxa"/>
          <w:bottom w:w="0" w:type="dxa"/>
          <w:right w:w="0" w:type="dxa"/>
        </w:tblCellMar>
      </w:tblPr>
      <w:tr>
        <w:trPr>
          <w:trHeight w:val="214"/>
        </w:trPr>
        <w:tc>
          <w:tcPr>
            <w:tcW w:w="3600" w:type="dxa"/>
            <w:vAlign w:val="bottom"/>
          </w:tcPr>
          <w:p>
            <w:pPr>
              <w:spacing w:after="0"/>
              <w:rPr>
                <w:sz w:val="18"/>
                <w:szCs w:val="18"/>
                <w:color w:val="auto"/>
              </w:rPr>
            </w:pPr>
          </w:p>
        </w:tc>
        <w:tc>
          <w:tcPr>
            <w:tcW w:w="580" w:type="dxa"/>
            <w:vAlign w:val="bottom"/>
            <w:gridSpan w:val="2"/>
          </w:tcPr>
          <w:p>
            <w:pPr>
              <w:ind w:left="80"/>
              <w:spacing w:after="0" w:line="213" w:lineRule="exact"/>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spacing w:after="0"/>
              <w:rPr>
                <w:sz w:val="18"/>
                <w:szCs w:val="18"/>
                <w:color w:val="auto"/>
              </w:rPr>
            </w:pPr>
          </w:p>
        </w:tc>
        <w:tc>
          <w:tcPr>
            <w:tcW w:w="3040" w:type="dxa"/>
            <w:vAlign w:val="bottom"/>
            <w:gridSpan w:val="2"/>
          </w:tcPr>
          <w:p>
            <w:pPr>
              <w:ind w:left="100"/>
              <w:spacing w:after="0" w:line="213" w:lineRule="exact"/>
              <w:rPr>
                <w:sz w:val="20"/>
                <w:szCs w:val="20"/>
                <w:color w:val="auto"/>
              </w:rPr>
            </w:pPr>
            <w:r>
              <w:rPr>
                <w:rFonts w:ascii="Times New Roman" w:cs="Times New Roman" w:eastAsia="Times New Roman" w:hAnsi="Times New Roman"/>
                <w:sz w:val="20"/>
                <w:szCs w:val="20"/>
                <w:color w:val="auto"/>
              </w:rPr>
              <w:t>​​​</w:t>
            </w:r>
          </w:p>
        </w:tc>
      </w:tr>
      <w:tr>
        <w:trPr>
          <w:trHeight w:val="252"/>
        </w:trPr>
        <w:tc>
          <w:tcPr>
            <w:tcW w:w="4180" w:type="dxa"/>
            <w:vAlign w:val="bottom"/>
            <w:gridSpan w:val="3"/>
          </w:tcPr>
          <w:p>
            <w:pPr>
              <w:jc w:val="center"/>
              <w:ind w:right="600"/>
              <w:spacing w:after="0"/>
              <w:rPr>
                <w:sz w:val="20"/>
                <w:szCs w:val="20"/>
                <w:color w:val="auto"/>
              </w:rPr>
            </w:pPr>
            <w:r>
              <w:rPr>
                <w:rFonts w:ascii="Times New Roman" w:cs="Times New Roman" w:eastAsia="Times New Roman" w:hAnsi="Times New Roman"/>
                <w:sz w:val="20"/>
                <w:szCs w:val="20"/>
                <w:color w:val="auto"/>
                <w:w w:val="96"/>
              </w:rPr>
              <w:t>Texas</w:t>
            </w:r>
          </w:p>
        </w:tc>
        <w:tc>
          <w:tcPr>
            <w:tcW w:w="168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9"/>
              </w:rPr>
              <w:t>001-38761</w:t>
            </w:r>
          </w:p>
        </w:tc>
        <w:tc>
          <w:tcPr>
            <w:tcW w:w="3040" w:type="dxa"/>
            <w:vAlign w:val="bottom"/>
            <w:gridSpan w:val="2"/>
          </w:tcPr>
          <w:p>
            <w:pPr>
              <w:jc w:val="right"/>
              <w:ind w:right="821"/>
              <w:spacing w:after="0"/>
              <w:rPr>
                <w:sz w:val="20"/>
                <w:szCs w:val="20"/>
                <w:color w:val="auto"/>
              </w:rPr>
            </w:pPr>
            <w:r>
              <w:rPr>
                <w:rFonts w:ascii="Times New Roman" w:cs="Times New Roman" w:eastAsia="Times New Roman" w:hAnsi="Times New Roman"/>
                <w:sz w:val="20"/>
                <w:szCs w:val="20"/>
                <w:color w:val="auto"/>
              </w:rPr>
              <w:t>20-2897516</w:t>
            </w:r>
          </w:p>
        </w:tc>
      </w:tr>
      <w:tr>
        <w:trPr>
          <w:trHeight w:val="200"/>
        </w:trPr>
        <w:tc>
          <w:tcPr>
            <w:tcW w:w="360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(State or other jurisdiction</w:t>
            </w: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right="241"/>
              <w:spacing w:after="0" w:line="200" w:lineRule="exact"/>
              <w:rPr>
                <w:sz w:val="20"/>
                <w:szCs w:val="20"/>
                <w:color w:val="auto"/>
              </w:rPr>
            </w:pPr>
            <w:r>
              <w:rPr>
                <w:rFonts w:ascii="Times New Roman" w:cs="Times New Roman" w:eastAsia="Times New Roman" w:hAnsi="Times New Roman"/>
                <w:sz w:val="20"/>
                <w:szCs w:val="20"/>
                <w:color w:val="auto"/>
                <w:w w:val="98"/>
              </w:rPr>
              <w:t>(Commission</w:t>
            </w:r>
          </w:p>
        </w:tc>
        <w:tc>
          <w:tcPr>
            <w:tcW w:w="240" w:type="dxa"/>
            <w:vAlign w:val="bottom"/>
          </w:tcPr>
          <w:p>
            <w:pPr>
              <w:spacing w:after="0"/>
              <w:rPr>
                <w:sz w:val="17"/>
                <w:szCs w:val="17"/>
                <w:color w:val="auto"/>
              </w:rPr>
            </w:pPr>
          </w:p>
        </w:tc>
        <w:tc>
          <w:tcPr>
            <w:tcW w:w="280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4180" w:type="dxa"/>
            <w:vAlign w:val="bottom"/>
            <w:gridSpan w:val="3"/>
          </w:tcPr>
          <w:p>
            <w:pPr>
              <w:jc w:val="center"/>
              <w:ind w:right="600"/>
              <w:spacing w:after="0"/>
              <w:rPr>
                <w:sz w:val="20"/>
                <w:szCs w:val="20"/>
                <w:color w:val="auto"/>
              </w:rPr>
            </w:pPr>
            <w:r>
              <w:rPr>
                <w:rFonts w:ascii="Times New Roman" w:cs="Times New Roman" w:eastAsia="Times New Roman" w:hAnsi="Times New Roman"/>
                <w:sz w:val="20"/>
                <w:szCs w:val="20"/>
                <w:color w:val="auto"/>
                <w:w w:val="98"/>
              </w:rPr>
              <w:t>of incorporation)</w:t>
            </w:r>
          </w:p>
        </w:tc>
        <w:tc>
          <w:tcPr>
            <w:tcW w:w="1680" w:type="dxa"/>
            <w:vAlign w:val="bottom"/>
          </w:tcPr>
          <w:p>
            <w:pPr>
              <w:jc w:val="center"/>
              <w:ind w:right="241"/>
              <w:spacing w:after="0"/>
              <w:rPr>
                <w:sz w:val="20"/>
                <w:szCs w:val="20"/>
                <w:color w:val="auto"/>
              </w:rPr>
            </w:pPr>
            <w:r>
              <w:rPr>
                <w:rFonts w:ascii="Times New Roman" w:cs="Times New Roman" w:eastAsia="Times New Roman" w:hAnsi="Times New Roman"/>
                <w:sz w:val="20"/>
                <w:szCs w:val="20"/>
                <w:color w:val="auto"/>
                <w:w w:val="97"/>
              </w:rPr>
              <w:t>File Number)</w:t>
            </w:r>
          </w:p>
        </w:tc>
        <w:tc>
          <w:tcPr>
            <w:tcW w:w="24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Identification No.)</w:t>
            </w:r>
          </w:p>
        </w:tc>
      </w:tr>
      <w:tr>
        <w:trPr>
          <w:trHeight w:val="430"/>
        </w:trPr>
        <w:tc>
          <w:tcPr>
            <w:tcW w:w="4180" w:type="dxa"/>
            <w:vAlign w:val="bottom"/>
            <w:gridSpan w:val="3"/>
          </w:tcPr>
          <w:p>
            <w:pPr>
              <w:jc w:val="center"/>
              <w:ind w:left="1561"/>
              <w:spacing w:after="0"/>
              <w:rPr>
                <w:sz w:val="20"/>
                <w:szCs w:val="20"/>
                <w:color w:val="auto"/>
              </w:rPr>
            </w:pPr>
            <w:r>
              <w:rPr>
                <w:rFonts w:ascii="Times New Roman" w:cs="Times New Roman" w:eastAsia="Times New Roman" w:hAnsi="Times New Roman"/>
                <w:sz w:val="20"/>
                <w:szCs w:val="20"/>
                <w:color w:val="auto"/>
                <w:w w:val="98"/>
              </w:rPr>
              <w:t>1600 Airport Freeway, #100</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52"/>
        </w:trPr>
        <w:tc>
          <w:tcPr>
            <w:tcW w:w="4180" w:type="dxa"/>
            <w:vAlign w:val="bottom"/>
            <w:gridSpan w:val="3"/>
          </w:tcPr>
          <w:p>
            <w:pPr>
              <w:jc w:val="center"/>
              <w:ind w:left="1561"/>
              <w:spacing w:after="0"/>
              <w:rPr>
                <w:sz w:val="20"/>
                <w:szCs w:val="20"/>
                <w:color w:val="auto"/>
              </w:rPr>
            </w:pPr>
            <w:r>
              <w:rPr>
                <w:rFonts w:ascii="Times New Roman" w:cs="Times New Roman" w:eastAsia="Times New Roman" w:hAnsi="Times New Roman"/>
                <w:sz w:val="20"/>
                <w:szCs w:val="20"/>
                <w:color w:val="auto"/>
                <w:w w:val="97"/>
              </w:rPr>
              <w:t>Bedford, Texas</w:t>
            </w:r>
          </w:p>
        </w:tc>
        <w:tc>
          <w:tcPr>
            <w:tcW w:w="1680" w:type="dxa"/>
            <w:vAlign w:val="bottom"/>
          </w:tcPr>
          <w:p>
            <w:pPr>
              <w:spacing w:after="0"/>
              <w:rPr>
                <w:sz w:val="21"/>
                <w:szCs w:val="21"/>
                <w:color w:val="auto"/>
              </w:rPr>
            </w:pPr>
          </w:p>
        </w:tc>
        <w:tc>
          <w:tcPr>
            <w:tcW w:w="3040" w:type="dxa"/>
            <w:vAlign w:val="bottom"/>
            <w:gridSpan w:val="2"/>
          </w:tcPr>
          <w:p>
            <w:pPr>
              <w:jc w:val="right"/>
              <w:ind w:right="1061"/>
              <w:spacing w:after="0"/>
              <w:rPr>
                <w:sz w:val="20"/>
                <w:szCs w:val="20"/>
                <w:color w:val="auto"/>
              </w:rPr>
            </w:pPr>
            <w:r>
              <w:rPr>
                <w:rFonts w:ascii="Times New Roman" w:cs="Times New Roman" w:eastAsia="Times New Roman" w:hAnsi="Times New Roman"/>
                <w:sz w:val="20"/>
                <w:szCs w:val="20"/>
                <w:color w:val="auto"/>
              </w:rPr>
              <w:t>76022</w:t>
            </w:r>
          </w:p>
        </w:tc>
      </w:tr>
      <w:tr>
        <w:trPr>
          <w:trHeight w:val="252"/>
        </w:trPr>
        <w:tc>
          <w:tcPr>
            <w:tcW w:w="58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(Address of Principal Executive Offices)</w:t>
            </w:r>
          </w:p>
        </w:tc>
        <w:tc>
          <w:tcPr>
            <w:tcW w:w="240" w:type="dxa"/>
            <w:vAlign w:val="bottom"/>
          </w:tcPr>
          <w:p>
            <w:pPr>
              <w:spacing w:after="0"/>
              <w:rPr>
                <w:sz w:val="21"/>
                <w:szCs w:val="21"/>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83"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u w:val="single" w:color="auto"/>
          <w:color w:val="auto"/>
        </w:rPr>
        <w:t>(817) 799-4900</w:t>
      </w:r>
    </w:p>
    <w:p>
      <w:pPr>
        <w:spacing w:after="0" w:line="13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0"/>
          <w:szCs w:val="20"/>
          <w:color w:val="auto"/>
        </w:rPr>
        <w:t>N/A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-139700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 w:lineRule="exact"/>
        <w:rPr>
          <w:sz w:val="24"/>
          <w:szCs w:val="24"/>
          <w:color w:val="auto"/>
        </w:rPr>
      </w:pPr>
    </w:p>
    <w:p>
      <w:pPr>
        <w:jc w:val="both"/>
        <w:ind w:left="60" w:right="839"/>
        <w:spacing w:after="0" w:line="271"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9"/>
          <w:szCs w:val="19"/>
          <w:i w:val="1"/>
          <w:iCs w:val="1"/>
          <w:color w:val="auto"/>
        </w:rPr>
        <w:t>see</w:t>
      </w:r>
      <w:r>
        <w:rPr>
          <w:rFonts w:ascii="Times New Roman" w:cs="Times New Roman" w:eastAsia="Times New Roman" w:hAnsi="Times New Roman"/>
          <w:sz w:val="19"/>
          <w:szCs w:val="19"/>
          <w:color w:val="auto"/>
        </w:rPr>
        <w:t xml:space="preserve"> General Instruction A.2. below):</w:t>
      </w:r>
    </w:p>
    <w:p>
      <w:pPr>
        <w:spacing w:after="0" w:line="92" w:lineRule="exact"/>
        <w:rPr>
          <w:sz w:val="24"/>
          <w:szCs w:val="24"/>
          <w:color w:val="auto"/>
        </w:rPr>
      </w:pPr>
    </w:p>
    <w:p>
      <w:pPr>
        <w:ind w:left="920" w:hanging="222"/>
        <w:spacing w:after="0"/>
        <w:tabs>
          <w:tab w:leader="none" w:pos="9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148" w:lineRule="exact"/>
        <w:rPr>
          <w:rFonts w:ascii="MS PGothic" w:cs="MS PGothic" w:eastAsia="MS PGothic" w:hAnsi="MS PGothic"/>
          <w:sz w:val="20"/>
          <w:szCs w:val="20"/>
          <w:color w:val="auto"/>
        </w:rPr>
      </w:pPr>
    </w:p>
    <w:p>
      <w:pPr>
        <w:ind w:left="920" w:hanging="222"/>
        <w:spacing w:after="0"/>
        <w:tabs>
          <w:tab w:leader="none" w:pos="9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148" w:lineRule="exact"/>
        <w:rPr>
          <w:rFonts w:ascii="MS PGothic" w:cs="MS PGothic" w:eastAsia="MS PGothic" w:hAnsi="MS PGothic"/>
          <w:sz w:val="20"/>
          <w:szCs w:val="20"/>
          <w:color w:val="auto"/>
        </w:rPr>
      </w:pPr>
    </w:p>
    <w:p>
      <w:pPr>
        <w:ind w:left="60" w:right="359" w:firstLine="638"/>
        <w:spacing w:after="0" w:line="269" w:lineRule="auto"/>
        <w:tabs>
          <w:tab w:leader="none" w:pos="93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91" w:lineRule="exact"/>
        <w:rPr>
          <w:rFonts w:ascii="MS PGothic" w:cs="MS PGothic" w:eastAsia="MS PGothic" w:hAnsi="MS PGothic"/>
          <w:sz w:val="20"/>
          <w:szCs w:val="20"/>
          <w:color w:val="auto"/>
        </w:rPr>
      </w:pPr>
    </w:p>
    <w:p>
      <w:pPr>
        <w:ind w:left="60" w:right="379" w:firstLine="638"/>
        <w:spacing w:after="0" w:line="269" w:lineRule="auto"/>
        <w:tabs>
          <w:tab w:leader="none" w:pos="93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7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146" w:lineRule="exact"/>
        <w:rPr>
          <w:sz w:val="24"/>
          <w:szCs w:val="24"/>
          <w:color w:val="auto"/>
        </w:rPr>
      </w:pPr>
    </w:p>
    <w:tbl>
      <w:tblPr>
        <w:tblLayout w:type="fixed"/>
        <w:tblInd w:w="60" w:type="dxa"/>
        <w:tblCellMar>
          <w:top w:w="0" w:type="dxa"/>
          <w:left w:w="0" w:type="dxa"/>
          <w:bottom w:w="0" w:type="dxa"/>
          <w:right w:w="0" w:type="dxa"/>
        </w:tblCellMar>
      </w:tblPr>
      <w:tr>
        <w:trPr>
          <w:trHeight w:val="173"/>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Name of each exchange on which registered</w:t>
            </w:r>
          </w:p>
        </w:tc>
      </w:tr>
      <w:tr>
        <w:trPr>
          <w:trHeight w:val="182"/>
        </w:trPr>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LEGH</w:t>
            </w:r>
          </w:p>
        </w:tc>
        <w:tc>
          <w:tcPr>
            <w:tcW w:w="160" w:type="dxa"/>
            <w:vAlign w:val="bottom"/>
          </w:tcPr>
          <w:p>
            <w:pPr>
              <w:spacing w:after="0"/>
              <w:rPr>
                <w:sz w:val="15"/>
                <w:szCs w:val="15"/>
                <w:color w:val="auto"/>
              </w:rPr>
            </w:pPr>
          </w:p>
        </w:tc>
        <w:tc>
          <w:tcPr>
            <w:tcW w:w="29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40" w:lineRule="exact"/>
        <w:rPr>
          <w:sz w:val="24"/>
          <w:szCs w:val="24"/>
          <w:color w:val="auto"/>
        </w:rPr>
      </w:pPr>
    </w:p>
    <w:p>
      <w:pPr>
        <w:ind w:left="60" w:right="419"/>
        <w:spacing w:after="0" w:line="249"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580"/>
        <w:spacing w:after="0" w:line="219" w:lineRule="exact"/>
        <w:rPr>
          <w:sz w:val="20"/>
          <w:szCs w:val="20"/>
          <w:color w:val="auto"/>
        </w:rPr>
      </w:pPr>
      <w:r>
        <w:rPr>
          <w:rFonts w:ascii="Times New Roman" w:cs="Times New Roman" w:eastAsia="Times New Roman" w:hAnsi="Times New Roman"/>
          <w:sz w:val="19"/>
          <w:szCs w:val="19"/>
          <w:color w:val="auto"/>
        </w:rPr>
        <w:t xml:space="preserve">Emerging growth company </w:t>
      </w:r>
      <w:r>
        <w:rPr>
          <w:rFonts w:ascii="MS PGothic" w:cs="MS PGothic" w:eastAsia="MS PGothic" w:hAnsi="MS PGothic"/>
          <w:sz w:val="19"/>
          <w:szCs w:val="19"/>
          <w:color w:val="auto"/>
        </w:rPr>
        <w:t>☐</w:t>
      </w:r>
    </w:p>
    <w:p>
      <w:pPr>
        <w:spacing w:after="0" w:line="131" w:lineRule="exact"/>
        <w:rPr>
          <w:sz w:val="24"/>
          <w:szCs w:val="24"/>
          <w:color w:val="auto"/>
        </w:rPr>
      </w:pPr>
    </w:p>
    <w:p>
      <w:pPr>
        <w:jc w:val="both"/>
        <w:ind w:left="60" w:right="399"/>
        <w:spacing w:after="0" w:line="253"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398145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-20955</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20955</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 ON FORM 8-K</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Legacy Housing Corporation (the “Company”)</w:t>
      </w:r>
    </w:p>
    <w:p>
      <w:pPr>
        <w:spacing w:after="0" w:line="2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May 7, 2026</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12"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0"/>
          <w:szCs w:val="20"/>
          <w:color w:val="auto"/>
        </w:rPr>
        <w:t>The information contained in the Press Release issued by the Company on May 7, 2026, reporting the Company’s first quarter 2026 financial results, a copy of which is attached hereto as Exhibit 99.1, is incorporated herein by reference. Such information in this Item 2.02 (including Exhibit 99.1) is furnished pursuant to Item 2.02 and shall not be deemed to be “filed” for purposes of Section 18 of the Securities Exchange Act of 1934, as amended, or otherwise subject to the liabilities of that section.</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33" w:lineRule="exact"/>
        <w:rPr>
          <w:sz w:val="20"/>
          <w:szCs w:val="20"/>
          <w:color w:val="auto"/>
        </w:rPr>
      </w:pPr>
    </w:p>
    <w:p>
      <w:pPr>
        <w:ind w:left="700" w:hanging="650"/>
        <w:spacing w:after="0"/>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 The exhibits listed in the following Exhibit Index are filed as part of this current report.</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782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56"/>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200" w:type="dxa"/>
            <w:vAlign w:val="bottom"/>
          </w:tcPr>
          <w:p>
            <w:pPr>
              <w:spacing w:after="0"/>
              <w:rPr>
                <w:sz w:val="22"/>
                <w:szCs w:val="22"/>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20"/>
                <w:szCs w:val="20"/>
                <w:color w:val="auto"/>
              </w:rPr>
              <w:t>99.1</w:t>
            </w:r>
          </w:p>
        </w:tc>
        <w:tc>
          <w:tcPr>
            <w:tcW w:w="200" w:type="dxa"/>
            <w:vAlign w:val="bottom"/>
          </w:tcPr>
          <w:p>
            <w:pPr>
              <w:spacing w:after="0"/>
              <w:rPr>
                <w:sz w:val="15"/>
                <w:szCs w:val="15"/>
                <w:color w:val="auto"/>
              </w:rPr>
            </w:pPr>
          </w:p>
        </w:tc>
        <w:tc>
          <w:tcPr>
            <w:tcW w:w="7620" w:type="dxa"/>
            <w:vAlign w:val="bottom"/>
            <w:tcBorders>
              <w:top w:val="single" w:sz="8" w:color="auto"/>
            </w:tcBorders>
            <w:gridSpan w:val="2"/>
          </w:tcPr>
          <w:p>
            <w:pPr>
              <w:spacing w:after="0" w:line="183" w:lineRule="exact"/>
              <w:rPr>
                <w:sz w:val="20"/>
                <w:szCs w:val="20"/>
                <w:color w:val="auto"/>
              </w:rPr>
            </w:pPr>
            <w:r>
              <w:rPr>
                <w:rFonts w:ascii="Times New Roman" w:cs="Times New Roman" w:eastAsia="Times New Roman" w:hAnsi="Times New Roman"/>
                <w:sz w:val="20"/>
                <w:szCs w:val="20"/>
                <w:color w:val="0000EE"/>
              </w:rPr>
              <w:t>Press Release issued by Legacy Housing Corporation on May 7, 2026.</w:t>
            </w: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00" w:type="dxa"/>
            <w:vAlign w:val="bottom"/>
          </w:tcPr>
          <w:p>
            <w:pPr>
              <w:spacing w:after="0" w:line="20" w:lineRule="exact"/>
              <w:rPr>
                <w:sz w:val="1"/>
                <w:szCs w:val="1"/>
                <w:color w:val="auto"/>
              </w:rPr>
            </w:pPr>
          </w:p>
        </w:tc>
        <w:tc>
          <w:tcPr>
            <w:tcW w:w="55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10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1000"/>
        </w:trPr>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left="60" w:right="379"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LEGACY HOUSING CORPORATION</w:t>
      </w:r>
    </w:p>
    <w:p>
      <w:pPr>
        <w:spacing w:after="0" w:line="200" w:lineRule="exact"/>
        <w:rPr>
          <w:sz w:val="20"/>
          <w:szCs w:val="20"/>
          <w:color w:val="auto"/>
        </w:rPr>
      </w:pPr>
    </w:p>
    <w:p>
      <w:pPr>
        <w:spacing w:after="0" w:line="263" w:lineRule="exact"/>
        <w:rPr>
          <w:sz w:val="20"/>
          <w:szCs w:val="20"/>
          <w:color w:val="auto"/>
        </w:rPr>
      </w:pPr>
    </w:p>
    <w:p>
      <w:pPr>
        <w:ind w:left="80"/>
        <w:spacing w:after="0"/>
        <w:tabs>
          <w:tab w:leader="none" w:pos="4440" w:val="left"/>
          <w:tab w:leader="none" w:pos="5000" w:val="left"/>
        </w:tabs>
        <w:rPr>
          <w:sz w:val="20"/>
          <w:szCs w:val="20"/>
          <w:color w:val="auto"/>
        </w:rPr>
      </w:pPr>
      <w:r>
        <w:rPr>
          <w:rFonts w:ascii="Times New Roman" w:cs="Times New Roman" w:eastAsia="Times New Roman" w:hAnsi="Times New Roman"/>
          <w:sz w:val="20"/>
          <w:szCs w:val="20"/>
          <w:color w:val="auto"/>
        </w:rPr>
        <w:t>Date: May 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Jon Langbert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13970</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Name: Jon Langbert</w:t>
      </w:r>
    </w:p>
    <w:p>
      <w:pPr>
        <w:spacing w:after="0" w:line="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Legacy Housing Corporation Reports First Quarter 2026 Financial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7, 2026</w:t>
      </w:r>
    </w:p>
    <w:p>
      <w:pPr>
        <w:spacing w:after="0" w:line="189" w:lineRule="exact"/>
        <w:rPr>
          <w:sz w:val="20"/>
          <w:szCs w:val="20"/>
          <w:color w:val="auto"/>
        </w:rPr>
      </w:pPr>
    </w:p>
    <w:p>
      <w:pPr>
        <w:ind w:left="20" w:right="440" w:hanging="8"/>
        <w:spacing w:after="0" w:line="269" w:lineRule="auto"/>
        <w:rPr>
          <w:sz w:val="20"/>
          <w:szCs w:val="20"/>
          <w:color w:val="auto"/>
        </w:rPr>
      </w:pPr>
      <w:r>
        <w:rPr>
          <w:rFonts w:ascii="Times New Roman" w:cs="Times New Roman" w:eastAsia="Times New Roman" w:hAnsi="Times New Roman"/>
          <w:sz w:val="20"/>
          <w:szCs w:val="20"/>
          <w:color w:val="auto"/>
        </w:rPr>
        <w:t>BEDFORD, Texas — Legacy Housing Corporation (the “Company” or “Legacy”, Nasdaq: LEGH) today announced its financial results for the first quarter ended March 31,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Highlights</w:t>
      </w:r>
    </w:p>
    <w:p>
      <w:pPr>
        <w:spacing w:after="0" w:line="17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revenue for the first quarter of 2026 was $34.4 million, a decrease of 3.7% from the first quarter of 2025.</w:t>
      </w:r>
    </w:p>
    <w:p>
      <w:pPr>
        <w:spacing w:after="0" w:line="188" w:lineRule="exact"/>
        <w:rPr>
          <w:rFonts w:ascii="Times New Roman" w:cs="Times New Roman" w:eastAsia="Times New Roman" w:hAnsi="Times New Roman"/>
          <w:sz w:val="20"/>
          <w:szCs w:val="20"/>
          <w:color w:val="auto"/>
        </w:rPr>
      </w:pPr>
    </w:p>
    <w:p>
      <w:pPr>
        <w:ind w:left="660" w:right="100" w:hanging="328"/>
        <w:spacing w:after="0" w:line="26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from operations for the first quarter of 2026 was $12.4 million, an increase of 6.9% from the first quarter of 2025.</w:t>
      </w:r>
    </w:p>
    <w:p>
      <w:pPr>
        <w:spacing w:after="0" w:line="11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for the first quarter of 2026 was $10.9 million, an increase of 6.3% from the first quarter of 2025.</w:t>
      </w:r>
    </w:p>
    <w:p>
      <w:pPr>
        <w:spacing w:after="0" w:line="175"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Basic earnings per share for the first quarter of 2026 was $0.46, an increase of 7.0% from the first quarter of 2025. Diluted earnings per share was $0.46, an increase of 12.2% from the first quarter of 2025.</w:t>
      </w:r>
    </w:p>
    <w:p>
      <w:pPr>
        <w:spacing w:after="0" w:line="13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Book value per share on March 31, 2026, was $22.66, an increase of 2.1% from December 31, 2025.</w:t>
      </w:r>
    </w:p>
    <w:p>
      <w:pPr>
        <w:spacing w:after="0" w:line="175" w:lineRule="exact"/>
        <w:rPr>
          <w:rFonts w:ascii="Times New Roman" w:cs="Times New Roman" w:eastAsia="Times New Roman" w:hAnsi="Times New Roman"/>
          <w:sz w:val="20"/>
          <w:szCs w:val="20"/>
          <w:color w:val="auto"/>
        </w:rPr>
      </w:pPr>
    </w:p>
    <w:p>
      <w:pPr>
        <w:ind w:left="660" w:right="460" w:hanging="328"/>
        <w:spacing w:after="0" w:line="254"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a non-refundable advance deposit of approximately $7.1 million during the first quarter from a single customer in connection with a large order of workforce housing units, with deliveries expected to begin in the second quarter of 2026.</w:t>
      </w:r>
    </w:p>
    <w:p>
      <w:pPr>
        <w:spacing w:after="0" w:line="133" w:lineRule="exact"/>
        <w:rPr>
          <w:rFonts w:ascii="Times New Roman" w:cs="Times New Roman" w:eastAsia="Times New Roman" w:hAnsi="Times New Roman"/>
          <w:sz w:val="20"/>
          <w:szCs w:val="20"/>
          <w:color w:val="auto"/>
        </w:rPr>
      </w:pPr>
    </w:p>
    <w:p>
      <w:pPr>
        <w:ind w:left="660" w:right="380" w:hanging="328"/>
        <w:spacing w:after="0" w:line="26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Repurchased 30,740 shares of common stock for approximately $573 thousand during the first quarter under the $10.0 million repurchase program authorized by the Board of Directors on February 6, 2026.</w:t>
      </w:r>
    </w:p>
    <w:p>
      <w:pPr>
        <w:spacing w:after="0" w:line="132" w:lineRule="exact"/>
        <w:rPr>
          <w:sz w:val="20"/>
          <w:szCs w:val="20"/>
          <w:color w:val="auto"/>
        </w:rPr>
      </w:pPr>
    </w:p>
    <w:p>
      <w:pPr>
        <w:ind w:left="20" w:right="80" w:hanging="8"/>
        <w:spacing w:after="0" w:line="244" w:lineRule="auto"/>
        <w:rPr>
          <w:sz w:val="20"/>
          <w:szCs w:val="20"/>
          <w:color w:val="auto"/>
        </w:rPr>
      </w:pPr>
      <w:r>
        <w:rPr>
          <w:rFonts w:ascii="Times New Roman" w:cs="Times New Roman" w:eastAsia="Times New Roman" w:hAnsi="Times New Roman"/>
          <w:sz w:val="20"/>
          <w:szCs w:val="20"/>
          <w:color w:val="auto"/>
        </w:rPr>
        <w:t>Kenneth E. Shipley, Chief Executive Officer, stated: “Legacy delivered a solid first quarter, growing net income and diluted earnings per share year-over-year despite a modest decline in revenue and continued macro headwinds. Our retail and direct sales channels showed real strength, our loan portfolios continue to perform well, and we ended the quarter with $14.1 million in cash and an essentially undrawn revolver. The large workforce housing order received during the quarter underscores the opportunity we see in that market, and we look forward to delivering on that order in the coming quarters. We remain confident in the long-term demand for affordable manufactured housing and in Legacy’s ability to serve that need.”</w:t>
      </w:r>
    </w:p>
    <w:p>
      <w:pPr>
        <w:spacing w:after="0" w:line="145" w:lineRule="exact"/>
        <w:rPr>
          <w:sz w:val="20"/>
          <w:szCs w:val="20"/>
          <w:color w:val="auto"/>
        </w:rPr>
      </w:pPr>
    </w:p>
    <w:p>
      <w:pPr>
        <w:ind w:left="20" w:right="360" w:hanging="8"/>
        <w:spacing w:after="0" w:line="254" w:lineRule="auto"/>
        <w:rPr>
          <w:sz w:val="20"/>
          <w:szCs w:val="20"/>
          <w:color w:val="auto"/>
        </w:rPr>
      </w:pPr>
      <w:r>
        <w:rPr>
          <w:rFonts w:ascii="Times New Roman" w:cs="Times New Roman" w:eastAsia="Times New Roman" w:hAnsi="Times New Roman"/>
          <w:sz w:val="20"/>
          <w:szCs w:val="20"/>
          <w:color w:val="auto"/>
        </w:rPr>
        <w:t>This shall not constitute an offer to sell or the solicitation of an offer to buy, nor shall there be any sale of the Company’s securities in any state or jurisdiction in which such offer, solicitation or sale would be unlawful prior to registration or qualification under the securities laws of any such state or jurisdiction.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193" w:lineRule="exact"/>
        <w:rPr>
          <w:sz w:val="20"/>
          <w:szCs w:val="20"/>
          <w:color w:val="auto"/>
        </w:rPr>
      </w:pPr>
    </w:p>
    <w:p>
      <w:pPr>
        <w:ind w:left="20" w:right="60" w:hanging="8"/>
        <w:spacing w:after="0" w:line="269" w:lineRule="auto"/>
        <w:rPr>
          <w:sz w:val="20"/>
          <w:szCs w:val="20"/>
          <w:color w:val="auto"/>
        </w:rPr>
      </w:pPr>
      <w:r>
        <w:rPr>
          <w:rFonts w:ascii="Times New Roman" w:cs="Times New Roman" w:eastAsia="Times New Roman" w:hAnsi="Times New Roman"/>
          <w:sz w:val="20"/>
          <w:szCs w:val="20"/>
          <w:color w:val="auto"/>
        </w:rPr>
        <w:t xml:space="preserve">Management will host a conference call to discuss the results at 12:00 PM Central Time on Friday, May 8, 2026. </w:t>
      </w:r>
      <w:r>
        <w:rPr>
          <w:rFonts w:ascii="Times New Roman" w:cs="Times New Roman" w:eastAsia="Times New Roman" w:hAnsi="Times New Roman"/>
          <w:sz w:val="20"/>
          <w:szCs w:val="20"/>
          <w:u w:val="single" w:color="auto"/>
          <w:color w:val="auto"/>
        </w:rPr>
        <w:t>Dial-in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webcast</w:t>
      </w:r>
      <w:r>
        <w:rPr>
          <w:rFonts w:ascii="Times New Roman" w:cs="Times New Roman" w:eastAsia="Times New Roman" w:hAnsi="Times New Roman"/>
          <w:sz w:val="20"/>
          <w:szCs w:val="20"/>
          <w:color w:val="auto"/>
        </w:rPr>
        <w:t xml:space="preserve"> details will be provided in advance of the call.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Legacy Housing Corporation</w:t>
      </w:r>
    </w:p>
    <w:p>
      <w:pPr>
        <w:spacing w:after="0" w:line="179" w:lineRule="exact"/>
        <w:rPr>
          <w:sz w:val="20"/>
          <w:szCs w:val="20"/>
          <w:color w:val="auto"/>
        </w:rPr>
      </w:pPr>
    </w:p>
    <w:p>
      <w:pPr>
        <w:ind w:left="20" w:right="280" w:hanging="8"/>
        <w:spacing w:after="0" w:line="249" w:lineRule="auto"/>
        <w:rPr>
          <w:sz w:val="20"/>
          <w:szCs w:val="20"/>
          <w:color w:val="auto"/>
        </w:rPr>
      </w:pPr>
      <w:r>
        <w:rPr>
          <w:rFonts w:ascii="Times New Roman" w:cs="Times New Roman" w:eastAsia="Times New Roman" w:hAnsi="Times New Roman"/>
          <w:sz w:val="20"/>
          <w:szCs w:val="20"/>
          <w:color w:val="auto"/>
        </w:rPr>
        <w:t>Legacy Housing Corporation builds, sells, and finances manufactured homes and “Tiny Houses” distributed through a network of independent retailers and company-owned stores. The Company also sells directly to manufactured housing communities. Legacy is one of the largest producers of manufactured homes in the United States. With current operations focused primarily in the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840105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5" w:right="999" w:bottom="1440" w:gutter="0" w:footer="0" w:header="0"/>
        </w:sectPr>
      </w:pPr>
    </w:p>
    <w:bookmarkStart w:id="4" w:name="page5"/>
    <w:bookmarkEnd w:id="4"/>
    <w:p>
      <w:pPr>
        <w:ind w:left="20"/>
        <w:spacing w:after="0" w:line="254" w:lineRule="auto"/>
        <w:rPr>
          <w:sz w:val="20"/>
          <w:szCs w:val="20"/>
          <w:color w:val="auto"/>
        </w:rPr>
      </w:pPr>
      <w:r>
        <w:rPr>
          <w:rFonts w:ascii="Times New Roman" w:cs="Times New Roman" w:eastAsia="Times New Roman" w:hAnsi="Times New Roman"/>
          <w:sz w:val="20"/>
          <w:szCs w:val="20"/>
          <w:color w:val="auto"/>
        </w:rPr>
        <w:t>United States, we offer our customers an array of quality homes ranging in size from approximately 395 to 2,667 square feet consisting of 1 to 5 bedrooms, with 1 to 3½ bathrooms. Our homes range in price, at retail, from approximately $47,000 to $200,000.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93" w:lineRule="exact"/>
        <w:rPr>
          <w:sz w:val="20"/>
          <w:szCs w:val="20"/>
          <w:color w:val="auto"/>
        </w:rPr>
      </w:pPr>
    </w:p>
    <w:p>
      <w:pPr>
        <w:ind w:left="20" w:right="160" w:hanging="8"/>
        <w:spacing w:after="0" w:line="245"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Securities Exchange Act of 1934 and the Private Securities Litigation Reform Act of 1995. These forward-looking statements are subject to a number of risks and uncertainties, many of which are beyond our control. As a result, our actual results or performance may differ materially from anticipated results or performance. Legacy undertakes no obligation to update any such forward-looking statements after the date hereof, except as required by law. Investors should not place any reliance on any such forward-looking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Inquiries: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Jon Langbert, (817) 799-4900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ir@legacyhousingcorp.com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Inquiries: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Kira Hovancik, (817) 799-4905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pr@legacyhousingcorp.com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880"/>
      </w:cols>
      <w:pgMar w:left="980" w:top="859"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2026-05-08T05:25:18Z</dcterms:created>
  <dcterms:modified xsi:type="dcterms:W3CDTF">2026-05-08T05:25:18Z</dcterms:modified>
</cp:coreProperties>
</file>